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06D" w:rsidRPr="00C5706D" w:rsidRDefault="00C5706D" w:rsidP="00C5706D">
      <w:pPr>
        <w:pStyle w:val="Heading1"/>
      </w:pPr>
      <w:bookmarkStart w:id="0" w:name="_GoBack"/>
      <w:bookmarkEnd w:id="0"/>
      <w:r w:rsidRPr="00C5706D">
        <w:t>New Turnitin LTI process and features</w:t>
      </w:r>
    </w:p>
    <w:p w:rsidR="00C5706D" w:rsidRDefault="00C5706D" w:rsidP="00C5706D">
      <w:pPr>
        <w:pStyle w:val="NoSpacing"/>
        <w:rPr>
          <w:sz w:val="24"/>
          <w:szCs w:val="24"/>
          <w:lang w:eastAsia="en-GB"/>
        </w:rPr>
      </w:pPr>
      <w:r w:rsidRPr="00C5706D">
        <w:rPr>
          <w:sz w:val="24"/>
          <w:szCs w:val="24"/>
          <w:lang w:eastAsia="en-GB"/>
        </w:rPr>
        <w:t>From the 18th of July 2022; the process for creating TurnItIn assignment submission links will look and feel different. The majority of the old functionality will remain and there will be some new features as explained in this guide.</w:t>
      </w:r>
    </w:p>
    <w:p w:rsidR="00C5706D" w:rsidRPr="00C5706D" w:rsidRDefault="00C5706D" w:rsidP="00C5706D">
      <w:pPr>
        <w:pStyle w:val="NoSpacing"/>
        <w:rPr>
          <w:sz w:val="24"/>
          <w:szCs w:val="24"/>
          <w:lang w:eastAsia="en-GB"/>
        </w:rPr>
      </w:pPr>
    </w:p>
    <w:p w:rsidR="00C5706D" w:rsidRPr="00C5706D" w:rsidRDefault="00C5706D" w:rsidP="00C5706D">
      <w:pPr>
        <w:pStyle w:val="Heading4"/>
      </w:pPr>
      <w:r w:rsidRPr="00C5706D">
        <w:t>Creating a paper submission link</w:t>
      </w:r>
    </w:p>
    <w:p w:rsidR="00C5706D" w:rsidRDefault="00C5706D" w:rsidP="00C5706D">
      <w:pPr>
        <w:pStyle w:val="NoSpacing"/>
        <w:rPr>
          <w:sz w:val="24"/>
          <w:szCs w:val="24"/>
          <w:lang w:eastAsia="en-GB"/>
        </w:rPr>
      </w:pPr>
      <w:r>
        <w:rPr>
          <w:sz w:val="24"/>
          <w:szCs w:val="24"/>
          <w:lang w:eastAsia="en-GB"/>
        </w:rPr>
        <w:t>1. F</w:t>
      </w:r>
      <w:r w:rsidRPr="00C5706D">
        <w:rPr>
          <w:sz w:val="24"/>
          <w:szCs w:val="24"/>
          <w:lang w:eastAsia="en-GB"/>
        </w:rPr>
        <w:t>rom the Blackboard shell, click on the TurnItIn Content Area and move the mouse over Build Content.</w:t>
      </w:r>
    </w:p>
    <w:p w:rsidR="00C5706D" w:rsidRPr="00C5706D" w:rsidRDefault="00C5706D" w:rsidP="00C5706D">
      <w:pPr>
        <w:pStyle w:val="NoSpacing"/>
        <w:rPr>
          <w:sz w:val="24"/>
          <w:szCs w:val="24"/>
          <w:lang w:eastAsia="en-GB"/>
        </w:rPr>
      </w:pPr>
    </w:p>
    <w:p w:rsidR="00C5706D" w:rsidRPr="00C5706D" w:rsidRDefault="00C5706D" w:rsidP="00C5706D">
      <w:pPr>
        <w:pStyle w:val="NoSpacing"/>
        <w:rPr>
          <w:sz w:val="24"/>
          <w:szCs w:val="24"/>
          <w:lang w:eastAsia="en-GB"/>
        </w:rPr>
      </w:pPr>
      <w:r w:rsidRPr="00C5706D">
        <w:rPr>
          <w:sz w:val="24"/>
          <w:szCs w:val="24"/>
          <w:lang w:eastAsia="en-GB"/>
        </w:rPr>
        <w:t>2. Select TurnItIn Assignment.</w:t>
      </w:r>
    </w:p>
    <w:p w:rsidR="00C5706D" w:rsidRDefault="00C5706D" w:rsidP="00C5706D">
      <w:pPr>
        <w:pStyle w:val="NoSpacing"/>
        <w:rPr>
          <w:sz w:val="24"/>
          <w:szCs w:val="24"/>
          <w:lang w:eastAsia="en-GB"/>
        </w:rPr>
      </w:pPr>
      <w:r w:rsidRPr="00C5706D">
        <w:rPr>
          <w:noProof/>
          <w:color w:val="0000FF"/>
          <w:sz w:val="24"/>
          <w:szCs w:val="24"/>
          <w:lang w:eastAsia="en-GB"/>
        </w:rPr>
        <w:drawing>
          <wp:inline distT="0" distB="0" distL="0" distR="0">
            <wp:extent cx="2099310" cy="2854325"/>
            <wp:effectExtent l="0" t="0" r="0" b="3175"/>
            <wp:docPr id="15" name="Picture 15" descr="Selecting TurnItIn Assignment from the Build Content men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ng TurnItIn Assignment from the Build Content men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9310" cy="2854325"/>
                    </a:xfrm>
                    <a:prstGeom prst="rect">
                      <a:avLst/>
                    </a:prstGeom>
                    <a:noFill/>
                    <a:ln>
                      <a:noFill/>
                    </a:ln>
                  </pic:spPr>
                </pic:pic>
              </a:graphicData>
            </a:graphic>
          </wp:inline>
        </w:drawing>
      </w:r>
    </w:p>
    <w:p w:rsidR="00C5706D" w:rsidRPr="00C5706D" w:rsidRDefault="00C5706D" w:rsidP="00C5706D">
      <w:pPr>
        <w:pStyle w:val="NoSpacing"/>
        <w:rPr>
          <w:sz w:val="24"/>
          <w:szCs w:val="24"/>
          <w:lang w:eastAsia="en-GB"/>
        </w:rPr>
      </w:pPr>
    </w:p>
    <w:p w:rsidR="00C5706D" w:rsidRDefault="00C5706D" w:rsidP="00C5706D">
      <w:pPr>
        <w:pStyle w:val="NoSpacing"/>
        <w:rPr>
          <w:sz w:val="24"/>
          <w:szCs w:val="24"/>
          <w:lang w:eastAsia="en-GB"/>
        </w:rPr>
      </w:pPr>
      <w:r w:rsidRPr="00C5706D">
        <w:rPr>
          <w:sz w:val="24"/>
          <w:szCs w:val="24"/>
          <w:lang w:eastAsia="en-GB"/>
        </w:rPr>
        <w:t>3. Populate the screen with the relevant detail from the module or block’s assessment schedule</w:t>
      </w:r>
      <w:r>
        <w:rPr>
          <w:sz w:val="24"/>
          <w:szCs w:val="24"/>
          <w:lang w:eastAsia="en-GB"/>
        </w:rPr>
        <w:t>.</w:t>
      </w:r>
    </w:p>
    <w:p w:rsidR="00C5706D" w:rsidRPr="00C5706D" w:rsidRDefault="00C5706D" w:rsidP="00C5706D">
      <w:pPr>
        <w:pStyle w:val="NoSpacing"/>
        <w:rPr>
          <w:sz w:val="24"/>
          <w:szCs w:val="24"/>
          <w:lang w:eastAsia="en-GB"/>
        </w:rPr>
      </w:pPr>
    </w:p>
    <w:p w:rsidR="00C5706D" w:rsidRDefault="00C5706D" w:rsidP="00C5706D">
      <w:pPr>
        <w:pStyle w:val="NoSpacing"/>
        <w:rPr>
          <w:sz w:val="24"/>
          <w:szCs w:val="24"/>
          <w:lang w:eastAsia="en-GB"/>
        </w:rPr>
      </w:pPr>
      <w:r w:rsidRPr="00C5706D">
        <w:rPr>
          <w:b/>
          <w:noProof/>
          <w:sz w:val="24"/>
          <w:szCs w:val="24"/>
          <w:lang w:eastAsia="en-GB"/>
        </w:rPr>
        <w:t>Note:</w:t>
      </w:r>
      <w:r>
        <w:rPr>
          <w:noProof/>
          <w:sz w:val="24"/>
          <w:szCs w:val="24"/>
          <w:lang w:eastAsia="en-GB"/>
        </w:rPr>
        <w:t xml:space="preserve"> </w:t>
      </w:r>
      <w:r w:rsidRPr="00C5706D">
        <w:rPr>
          <w:sz w:val="24"/>
          <w:szCs w:val="24"/>
          <w:lang w:eastAsia="en-GB"/>
        </w:rPr>
        <w:t>The example below relates to a theoretical piece of coursework related to a block. It conforms with DMU assessment policy in that it is marked out of 100 points and there is 15 days to grade and provide feedback on the submissions.</w:t>
      </w:r>
    </w:p>
    <w:p w:rsidR="00C5706D" w:rsidRPr="00C5706D" w:rsidRDefault="00C5706D" w:rsidP="00C5706D">
      <w:pPr>
        <w:pStyle w:val="NoSpacing"/>
        <w:rPr>
          <w:sz w:val="24"/>
          <w:szCs w:val="24"/>
          <w:lang w:eastAsia="en-GB"/>
        </w:rPr>
      </w:pPr>
      <w:r w:rsidRPr="00C5706D">
        <w:rPr>
          <w:noProof/>
          <w:color w:val="0000FF"/>
          <w:sz w:val="24"/>
          <w:szCs w:val="24"/>
          <w:lang w:eastAsia="en-GB"/>
        </w:rPr>
        <w:drawing>
          <wp:inline distT="0" distB="0" distL="0" distR="0">
            <wp:extent cx="6798338" cy="1963682"/>
            <wp:effectExtent l="0" t="0" r="2540" b="0"/>
            <wp:docPr id="13" name="Picture 13" descr="Populating the first part of the setting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ulating the first part of the setting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2121" cy="1976329"/>
                    </a:xfrm>
                    <a:prstGeom prst="rect">
                      <a:avLst/>
                    </a:prstGeom>
                    <a:noFill/>
                    <a:ln>
                      <a:noFill/>
                    </a:ln>
                  </pic:spPr>
                </pic:pic>
              </a:graphicData>
            </a:graphic>
          </wp:inline>
        </w:drawing>
      </w:r>
    </w:p>
    <w:p w:rsidR="00C5706D" w:rsidRDefault="00C5706D">
      <w:pPr>
        <w:rPr>
          <w:sz w:val="24"/>
          <w:szCs w:val="24"/>
          <w:lang w:eastAsia="en-GB"/>
        </w:rPr>
      </w:pPr>
      <w:r>
        <w:rPr>
          <w:sz w:val="24"/>
          <w:szCs w:val="24"/>
          <w:lang w:eastAsia="en-GB"/>
        </w:rPr>
        <w:br w:type="page"/>
      </w:r>
    </w:p>
    <w:p w:rsidR="00C5706D" w:rsidRPr="00C5706D" w:rsidRDefault="00C5706D" w:rsidP="00C5706D">
      <w:pPr>
        <w:pStyle w:val="NoSpacing"/>
        <w:rPr>
          <w:sz w:val="24"/>
          <w:szCs w:val="24"/>
          <w:lang w:eastAsia="en-GB"/>
        </w:rPr>
      </w:pPr>
      <w:r w:rsidRPr="00C5706D">
        <w:rPr>
          <w:sz w:val="24"/>
          <w:szCs w:val="24"/>
          <w:lang w:eastAsia="en-GB"/>
        </w:rPr>
        <w:lastRenderedPageBreak/>
        <w:t>4. Click on Optional Settings.</w:t>
      </w:r>
    </w:p>
    <w:p w:rsidR="00C5706D" w:rsidRDefault="00C5706D" w:rsidP="00C5706D">
      <w:pPr>
        <w:pStyle w:val="NoSpacing"/>
        <w:rPr>
          <w:sz w:val="24"/>
          <w:szCs w:val="24"/>
          <w:lang w:eastAsia="en-GB"/>
        </w:rPr>
      </w:pPr>
      <w:r w:rsidRPr="00C5706D">
        <w:rPr>
          <w:noProof/>
          <w:color w:val="0000FF"/>
          <w:sz w:val="24"/>
          <w:szCs w:val="24"/>
          <w:lang w:eastAsia="en-GB"/>
        </w:rPr>
        <w:drawing>
          <wp:inline distT="0" distB="0" distL="0" distR="0">
            <wp:extent cx="1900555" cy="1343660"/>
            <wp:effectExtent l="0" t="0" r="4445" b="8890"/>
            <wp:docPr id="12" name="Picture 12" descr="The Optional Settings lin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Optional Settings lin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1343660"/>
                    </a:xfrm>
                    <a:prstGeom prst="rect">
                      <a:avLst/>
                    </a:prstGeom>
                    <a:noFill/>
                    <a:ln>
                      <a:noFill/>
                    </a:ln>
                  </pic:spPr>
                </pic:pic>
              </a:graphicData>
            </a:graphic>
          </wp:inline>
        </w:drawing>
      </w:r>
    </w:p>
    <w:p w:rsidR="00C5706D" w:rsidRPr="00C5706D" w:rsidRDefault="00C5706D" w:rsidP="00C5706D">
      <w:pPr>
        <w:pStyle w:val="NoSpacing"/>
        <w:rPr>
          <w:sz w:val="24"/>
          <w:szCs w:val="24"/>
          <w:lang w:eastAsia="en-GB"/>
        </w:rPr>
      </w:pPr>
    </w:p>
    <w:p w:rsidR="00C5706D" w:rsidRDefault="00C5706D" w:rsidP="00C5706D">
      <w:pPr>
        <w:pStyle w:val="NoSpacing"/>
        <w:rPr>
          <w:sz w:val="24"/>
          <w:szCs w:val="24"/>
          <w:lang w:eastAsia="en-GB"/>
        </w:rPr>
      </w:pPr>
      <w:r w:rsidRPr="00C5706D">
        <w:rPr>
          <w:sz w:val="24"/>
          <w:szCs w:val="24"/>
          <w:lang w:eastAsia="en-GB"/>
        </w:rPr>
        <w:t>5. Complete the next section of the screen.</w:t>
      </w:r>
    </w:p>
    <w:p w:rsidR="00C5706D" w:rsidRPr="00C5706D" w:rsidRDefault="00C5706D" w:rsidP="00C5706D">
      <w:pPr>
        <w:pStyle w:val="NoSpacing"/>
        <w:rPr>
          <w:sz w:val="24"/>
          <w:szCs w:val="24"/>
          <w:lang w:eastAsia="en-GB"/>
        </w:rPr>
      </w:pPr>
    </w:p>
    <w:p w:rsidR="00C5706D" w:rsidRPr="00C5706D" w:rsidRDefault="00C5706D" w:rsidP="00C5706D">
      <w:pPr>
        <w:pStyle w:val="NoSpacing"/>
        <w:rPr>
          <w:sz w:val="24"/>
          <w:szCs w:val="24"/>
          <w:lang w:eastAsia="en-GB"/>
        </w:rPr>
      </w:pPr>
      <w:r w:rsidRPr="00C5706D">
        <w:rPr>
          <w:b/>
          <w:noProof/>
          <w:sz w:val="24"/>
          <w:szCs w:val="24"/>
          <w:lang w:eastAsia="en-GB"/>
        </w:rPr>
        <w:t>Note:</w:t>
      </w:r>
      <w:r>
        <w:rPr>
          <w:b/>
          <w:noProof/>
          <w:sz w:val="24"/>
          <w:szCs w:val="24"/>
          <w:lang w:eastAsia="en-GB"/>
        </w:rPr>
        <w:t xml:space="preserve"> </w:t>
      </w:r>
      <w:r>
        <w:rPr>
          <w:sz w:val="24"/>
          <w:szCs w:val="24"/>
          <w:lang w:eastAsia="en-GB"/>
        </w:rPr>
        <w:t>Th</w:t>
      </w:r>
      <w:r w:rsidRPr="00C5706D">
        <w:rPr>
          <w:sz w:val="24"/>
          <w:szCs w:val="24"/>
          <w:lang w:eastAsia="en-GB"/>
        </w:rPr>
        <w:t>e example below relates to a theoretical piece of coursework related to a block. It conforms with DMU assessment policy in that it is marked anonymously and for completeness it shows that a Rubric is in use.</w:t>
      </w:r>
    </w:p>
    <w:p w:rsidR="00C5706D" w:rsidRPr="00C5706D" w:rsidRDefault="00C5706D" w:rsidP="00C5706D">
      <w:pPr>
        <w:pStyle w:val="NoSpacing"/>
        <w:rPr>
          <w:sz w:val="24"/>
          <w:szCs w:val="24"/>
          <w:lang w:eastAsia="en-GB"/>
        </w:rPr>
      </w:pPr>
      <w:r w:rsidRPr="00C5706D">
        <w:rPr>
          <w:noProof/>
          <w:color w:val="0000FF"/>
          <w:sz w:val="24"/>
          <w:szCs w:val="24"/>
          <w:lang w:eastAsia="en-GB"/>
        </w:rPr>
        <w:drawing>
          <wp:inline distT="0" distB="0" distL="0" distR="0">
            <wp:extent cx="6749979" cy="4254003"/>
            <wp:effectExtent l="0" t="0" r="0" b="0"/>
            <wp:docPr id="10" name="Picture 10" descr="Optional Settings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onal Settings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2190" cy="4268001"/>
                    </a:xfrm>
                    <a:prstGeom prst="rect">
                      <a:avLst/>
                    </a:prstGeom>
                    <a:noFill/>
                    <a:ln>
                      <a:noFill/>
                    </a:ln>
                  </pic:spPr>
                </pic:pic>
              </a:graphicData>
            </a:graphic>
          </wp:inline>
        </w:drawing>
      </w:r>
    </w:p>
    <w:p w:rsidR="00C5706D" w:rsidRPr="00C5706D" w:rsidRDefault="00C5706D" w:rsidP="00C5706D">
      <w:pPr>
        <w:pStyle w:val="NoSpacing"/>
        <w:rPr>
          <w:sz w:val="24"/>
          <w:szCs w:val="24"/>
          <w:lang w:eastAsia="en-GB"/>
        </w:rPr>
      </w:pPr>
      <w:r w:rsidRPr="00C5706D">
        <w:rPr>
          <w:noProof/>
          <w:sz w:val="24"/>
          <w:szCs w:val="24"/>
          <w:lang w:eastAsia="en-GB"/>
        </w:rPr>
        <w:drawing>
          <wp:inline distT="0" distB="0" distL="0" distR="0">
            <wp:extent cx="6749755" cy="2377555"/>
            <wp:effectExtent l="0" t="0" r="0" b="3810"/>
            <wp:docPr id="9" name="Picture 9" descr="Optional Sett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tional Settings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2789" cy="2392713"/>
                    </a:xfrm>
                    <a:prstGeom prst="rect">
                      <a:avLst/>
                    </a:prstGeom>
                    <a:noFill/>
                    <a:ln>
                      <a:noFill/>
                    </a:ln>
                  </pic:spPr>
                </pic:pic>
              </a:graphicData>
            </a:graphic>
          </wp:inline>
        </w:drawing>
      </w:r>
    </w:p>
    <w:p w:rsidR="00C5706D" w:rsidRPr="00C5706D" w:rsidRDefault="00C5706D" w:rsidP="00C5706D">
      <w:pPr>
        <w:pStyle w:val="NoSpacing"/>
        <w:rPr>
          <w:sz w:val="24"/>
          <w:szCs w:val="24"/>
          <w:lang w:eastAsia="en-GB"/>
        </w:rPr>
      </w:pPr>
      <w:r w:rsidRPr="00C5706D">
        <w:rPr>
          <w:b/>
          <w:noProof/>
          <w:sz w:val="24"/>
          <w:szCs w:val="24"/>
          <w:lang w:eastAsia="en-GB"/>
        </w:rPr>
        <w:t>Note:</w:t>
      </w:r>
      <w:r w:rsidRPr="00C5706D">
        <w:rPr>
          <w:noProof/>
          <w:sz w:val="24"/>
          <w:szCs w:val="24"/>
          <w:lang w:eastAsia="en-GB"/>
        </w:rPr>
        <w:t xml:space="preserve"> </w:t>
      </w:r>
      <w:r>
        <w:rPr>
          <w:sz w:val="24"/>
          <w:szCs w:val="24"/>
          <w:lang w:eastAsia="en-GB"/>
        </w:rPr>
        <w:t>Th</w:t>
      </w:r>
      <w:r w:rsidRPr="00C5706D">
        <w:rPr>
          <w:sz w:val="24"/>
          <w:szCs w:val="24"/>
          <w:lang w:eastAsia="en-GB"/>
        </w:rPr>
        <w:t xml:space="preserve">e ‘Allow students to view Similarity Reports’ setting may be enabled at your discretion – for further support with this please contact your local </w:t>
      </w:r>
      <w:hyperlink r:id="rId14" w:tgtFrame="_blank" w:history="1">
        <w:r w:rsidRPr="00C5706D">
          <w:rPr>
            <w:color w:val="0000FF"/>
            <w:sz w:val="24"/>
            <w:szCs w:val="24"/>
            <w:u w:val="single"/>
            <w:lang w:eastAsia="en-GB"/>
          </w:rPr>
          <w:t>Digital Learnin</w:t>
        </w:r>
        <w:r>
          <w:rPr>
            <w:color w:val="0000FF"/>
            <w:sz w:val="24"/>
            <w:szCs w:val="24"/>
            <w:u w:val="single"/>
            <w:lang w:eastAsia="en-GB"/>
          </w:rPr>
          <w:t>g</w:t>
        </w:r>
        <w:r w:rsidRPr="00C5706D">
          <w:rPr>
            <w:color w:val="0000FF"/>
            <w:sz w:val="24"/>
            <w:szCs w:val="24"/>
            <w:u w:val="single"/>
            <w:lang w:eastAsia="en-GB"/>
          </w:rPr>
          <w:t xml:space="preserve"> and Teaching Consultant</w:t>
        </w:r>
      </w:hyperlink>
      <w:r w:rsidRPr="00C5706D">
        <w:rPr>
          <w:sz w:val="24"/>
          <w:szCs w:val="24"/>
          <w:lang w:eastAsia="en-GB"/>
        </w:rPr>
        <w:t>.</w:t>
      </w:r>
    </w:p>
    <w:p w:rsidR="00C5706D" w:rsidRPr="00C5706D" w:rsidRDefault="00C5706D" w:rsidP="00C5706D">
      <w:pPr>
        <w:pStyle w:val="NoSpacing"/>
        <w:rPr>
          <w:sz w:val="24"/>
          <w:szCs w:val="24"/>
          <w:lang w:eastAsia="en-GB"/>
        </w:rPr>
      </w:pPr>
      <w:r w:rsidRPr="00C5706D">
        <w:rPr>
          <w:sz w:val="24"/>
          <w:szCs w:val="24"/>
          <w:lang w:eastAsia="en-GB"/>
        </w:rPr>
        <w:lastRenderedPageBreak/>
        <w:t>6. Click Submit.</w:t>
      </w:r>
    </w:p>
    <w:p w:rsidR="00C5706D" w:rsidRPr="00C5706D" w:rsidRDefault="00C5706D" w:rsidP="00C5706D">
      <w:pPr>
        <w:pStyle w:val="NoSpacing"/>
        <w:rPr>
          <w:sz w:val="24"/>
          <w:szCs w:val="24"/>
          <w:lang w:eastAsia="en-GB"/>
        </w:rPr>
      </w:pPr>
      <w:r w:rsidRPr="00C5706D">
        <w:rPr>
          <w:noProof/>
          <w:color w:val="0000FF"/>
          <w:sz w:val="24"/>
          <w:szCs w:val="24"/>
          <w:lang w:eastAsia="en-GB"/>
        </w:rPr>
        <w:drawing>
          <wp:inline distT="0" distB="0" distL="0" distR="0">
            <wp:extent cx="914400" cy="572770"/>
            <wp:effectExtent l="0" t="0" r="0" b="0"/>
            <wp:docPr id="7" name="Picture 7" descr="The Submit butt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ubmit butt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572770"/>
                    </a:xfrm>
                    <a:prstGeom prst="rect">
                      <a:avLst/>
                    </a:prstGeom>
                    <a:noFill/>
                    <a:ln>
                      <a:noFill/>
                    </a:ln>
                  </pic:spPr>
                </pic:pic>
              </a:graphicData>
            </a:graphic>
          </wp:inline>
        </w:drawing>
      </w:r>
    </w:p>
    <w:p w:rsidR="00C5706D" w:rsidRPr="00C5706D" w:rsidRDefault="00C5706D" w:rsidP="00C5706D">
      <w:pPr>
        <w:pStyle w:val="NoSpacing"/>
        <w:rPr>
          <w:sz w:val="24"/>
          <w:szCs w:val="24"/>
          <w:lang w:eastAsia="en-GB"/>
        </w:rPr>
      </w:pPr>
      <w:r w:rsidRPr="00C5706D">
        <w:rPr>
          <w:sz w:val="24"/>
          <w:szCs w:val="24"/>
          <w:lang w:eastAsia="en-GB"/>
        </w:rPr>
        <w:t>7. The new TurnItIn link will now be displayed within the Content Area.</w:t>
      </w:r>
    </w:p>
    <w:p w:rsidR="00C5706D" w:rsidRDefault="00C5706D" w:rsidP="00C5706D">
      <w:pPr>
        <w:pStyle w:val="NoSpacing"/>
        <w:rPr>
          <w:sz w:val="24"/>
          <w:szCs w:val="24"/>
          <w:lang w:eastAsia="en-GB"/>
        </w:rPr>
      </w:pPr>
      <w:r w:rsidRPr="00C5706D">
        <w:rPr>
          <w:noProof/>
          <w:color w:val="0000FF"/>
          <w:sz w:val="24"/>
          <w:szCs w:val="24"/>
          <w:lang w:eastAsia="en-GB"/>
        </w:rPr>
        <w:drawing>
          <wp:inline distT="0" distB="0" distL="0" distR="0">
            <wp:extent cx="6734728" cy="2338591"/>
            <wp:effectExtent l="0" t="0" r="0" b="5080"/>
            <wp:docPr id="6" name="Picture 6" descr="A new TurnItIn submission lin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new TurnItIn submission lin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0834" cy="2347656"/>
                    </a:xfrm>
                    <a:prstGeom prst="rect">
                      <a:avLst/>
                    </a:prstGeom>
                    <a:noFill/>
                    <a:ln>
                      <a:noFill/>
                    </a:ln>
                  </pic:spPr>
                </pic:pic>
              </a:graphicData>
            </a:graphic>
          </wp:inline>
        </w:drawing>
      </w:r>
    </w:p>
    <w:p w:rsidR="00C5706D" w:rsidRPr="00C5706D" w:rsidRDefault="00C5706D" w:rsidP="00C5706D">
      <w:pPr>
        <w:pStyle w:val="NoSpacing"/>
        <w:rPr>
          <w:sz w:val="24"/>
          <w:szCs w:val="24"/>
          <w:lang w:eastAsia="en-GB"/>
        </w:rPr>
      </w:pPr>
    </w:p>
    <w:p w:rsidR="00C5706D" w:rsidRPr="00C5706D" w:rsidRDefault="00C5706D" w:rsidP="00C5706D">
      <w:pPr>
        <w:pStyle w:val="NoSpacing"/>
        <w:rPr>
          <w:sz w:val="24"/>
          <w:szCs w:val="24"/>
          <w:lang w:eastAsia="en-GB"/>
        </w:rPr>
      </w:pPr>
      <w:r w:rsidRPr="00C5706D">
        <w:rPr>
          <w:b/>
          <w:noProof/>
          <w:sz w:val="24"/>
          <w:szCs w:val="24"/>
          <w:lang w:eastAsia="en-GB"/>
        </w:rPr>
        <w:t>Note:</w:t>
      </w:r>
      <w:r>
        <w:rPr>
          <w:sz w:val="24"/>
          <w:szCs w:val="24"/>
          <w:lang w:eastAsia="en-GB"/>
        </w:rPr>
        <w:t xml:space="preserve"> To</w:t>
      </w:r>
      <w:r w:rsidRPr="00C5706D">
        <w:rPr>
          <w:sz w:val="24"/>
          <w:szCs w:val="24"/>
          <w:lang w:eastAsia="en-GB"/>
        </w:rPr>
        <w:t xml:space="preserve"> access the submission for grading, colleagues must re-visit this link which will navigate direct to the Assignment Inbox.</w:t>
      </w:r>
    </w:p>
    <w:p w:rsidR="00C5706D" w:rsidRDefault="00C5706D" w:rsidP="00C5706D">
      <w:pPr>
        <w:pStyle w:val="NoSpacing"/>
        <w:rPr>
          <w:sz w:val="24"/>
          <w:szCs w:val="24"/>
          <w:lang w:eastAsia="en-GB"/>
        </w:rPr>
      </w:pPr>
    </w:p>
    <w:p w:rsidR="00C5706D" w:rsidRPr="00C5706D" w:rsidRDefault="00C5706D" w:rsidP="00C5706D">
      <w:pPr>
        <w:pStyle w:val="Heading4"/>
      </w:pPr>
      <w:r w:rsidRPr="00C5706D">
        <w:t>Grading and providing feedback</w:t>
      </w:r>
    </w:p>
    <w:p w:rsidR="00C5706D" w:rsidRPr="00C5706D" w:rsidRDefault="00C5706D" w:rsidP="00C5706D">
      <w:pPr>
        <w:pStyle w:val="NoSpacing"/>
        <w:rPr>
          <w:sz w:val="24"/>
          <w:szCs w:val="24"/>
          <w:lang w:eastAsia="en-GB"/>
        </w:rPr>
      </w:pPr>
      <w:r w:rsidRPr="00C5706D">
        <w:rPr>
          <w:sz w:val="24"/>
          <w:szCs w:val="24"/>
          <w:lang w:eastAsia="en-GB"/>
        </w:rPr>
        <w:t>1. Click the submission link.</w:t>
      </w:r>
    </w:p>
    <w:p w:rsidR="00C5706D" w:rsidRDefault="00C5706D" w:rsidP="00C5706D">
      <w:pPr>
        <w:pStyle w:val="NoSpacing"/>
        <w:rPr>
          <w:sz w:val="24"/>
          <w:szCs w:val="24"/>
          <w:lang w:eastAsia="en-GB"/>
        </w:rPr>
      </w:pPr>
      <w:r w:rsidRPr="00C5706D">
        <w:rPr>
          <w:noProof/>
          <w:color w:val="0000FF"/>
          <w:sz w:val="24"/>
          <w:szCs w:val="24"/>
          <w:lang w:eastAsia="en-GB"/>
        </w:rPr>
        <w:drawing>
          <wp:inline distT="0" distB="0" distL="0" distR="0">
            <wp:extent cx="4763135" cy="2115185"/>
            <wp:effectExtent l="0" t="0" r="0" b="0"/>
            <wp:docPr id="4" name="Picture 4" descr="The TurnItIn submission lin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TurnItIn submission link">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3135" cy="2115185"/>
                    </a:xfrm>
                    <a:prstGeom prst="rect">
                      <a:avLst/>
                    </a:prstGeom>
                    <a:noFill/>
                    <a:ln>
                      <a:noFill/>
                    </a:ln>
                  </pic:spPr>
                </pic:pic>
              </a:graphicData>
            </a:graphic>
          </wp:inline>
        </w:drawing>
      </w:r>
    </w:p>
    <w:p w:rsidR="00C5706D" w:rsidRPr="00C5706D" w:rsidRDefault="00C5706D" w:rsidP="00C5706D">
      <w:pPr>
        <w:pStyle w:val="NoSpacing"/>
        <w:rPr>
          <w:sz w:val="24"/>
          <w:szCs w:val="24"/>
          <w:lang w:eastAsia="en-GB"/>
        </w:rPr>
      </w:pPr>
    </w:p>
    <w:p w:rsidR="00C5706D" w:rsidRDefault="00C5706D" w:rsidP="00C5706D">
      <w:pPr>
        <w:pStyle w:val="NoSpacing"/>
        <w:rPr>
          <w:sz w:val="24"/>
          <w:szCs w:val="24"/>
          <w:lang w:eastAsia="en-GB"/>
        </w:rPr>
      </w:pPr>
      <w:r w:rsidRPr="00C5706D">
        <w:rPr>
          <w:sz w:val="24"/>
          <w:szCs w:val="24"/>
          <w:lang w:eastAsia="en-GB"/>
        </w:rPr>
        <w:t>2. The next screen will display the Assignment Inbox.</w:t>
      </w:r>
    </w:p>
    <w:p w:rsidR="00C5706D" w:rsidRPr="00C5706D" w:rsidRDefault="00C5706D" w:rsidP="00C5706D">
      <w:pPr>
        <w:pStyle w:val="NoSpacing"/>
        <w:rPr>
          <w:sz w:val="24"/>
          <w:szCs w:val="24"/>
          <w:lang w:eastAsia="en-GB"/>
        </w:rPr>
      </w:pPr>
    </w:p>
    <w:p w:rsidR="00C5706D" w:rsidRPr="00C5706D" w:rsidRDefault="00C5706D" w:rsidP="00C5706D">
      <w:pPr>
        <w:pStyle w:val="NoSpacing"/>
        <w:rPr>
          <w:sz w:val="24"/>
          <w:szCs w:val="24"/>
          <w:lang w:eastAsia="en-GB"/>
        </w:rPr>
      </w:pPr>
      <w:r w:rsidRPr="00C5706D">
        <w:rPr>
          <w:sz w:val="24"/>
          <w:szCs w:val="24"/>
          <w:lang w:eastAsia="en-GB"/>
        </w:rPr>
        <w:t>3. In the Grade column, click the icon for the attempt to be graded.</w:t>
      </w:r>
    </w:p>
    <w:p w:rsidR="00C5706D" w:rsidRDefault="00C5706D" w:rsidP="00C5706D">
      <w:pPr>
        <w:pStyle w:val="NoSpacing"/>
        <w:rPr>
          <w:sz w:val="24"/>
          <w:szCs w:val="24"/>
          <w:lang w:eastAsia="en-GB"/>
        </w:rPr>
      </w:pPr>
      <w:r w:rsidRPr="00C5706D">
        <w:rPr>
          <w:noProof/>
          <w:color w:val="0000FF"/>
          <w:sz w:val="24"/>
          <w:szCs w:val="24"/>
          <w:lang w:eastAsia="en-GB"/>
        </w:rPr>
        <w:drawing>
          <wp:inline distT="0" distB="0" distL="0" distR="0">
            <wp:extent cx="4763135" cy="1296035"/>
            <wp:effectExtent l="0" t="0" r="0" b="0"/>
            <wp:docPr id="3" name="Picture 3" descr="The Grade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Grade ic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3135" cy="1296035"/>
                    </a:xfrm>
                    <a:prstGeom prst="rect">
                      <a:avLst/>
                    </a:prstGeom>
                    <a:noFill/>
                    <a:ln>
                      <a:noFill/>
                    </a:ln>
                  </pic:spPr>
                </pic:pic>
              </a:graphicData>
            </a:graphic>
          </wp:inline>
        </w:drawing>
      </w:r>
    </w:p>
    <w:p w:rsidR="00C5706D" w:rsidRPr="00C5706D" w:rsidRDefault="00C5706D" w:rsidP="00C5706D">
      <w:pPr>
        <w:pStyle w:val="NoSpacing"/>
        <w:rPr>
          <w:sz w:val="24"/>
          <w:szCs w:val="24"/>
          <w:lang w:eastAsia="en-GB"/>
        </w:rPr>
      </w:pPr>
    </w:p>
    <w:p w:rsidR="00945D4A" w:rsidRDefault="00C5706D" w:rsidP="00C5706D">
      <w:pPr>
        <w:pStyle w:val="NoSpacing"/>
        <w:rPr>
          <w:sz w:val="24"/>
          <w:szCs w:val="24"/>
          <w:lang w:eastAsia="en-GB"/>
        </w:rPr>
      </w:pPr>
      <w:r w:rsidRPr="00C5706D">
        <w:rPr>
          <w:sz w:val="24"/>
          <w:szCs w:val="24"/>
          <w:lang w:eastAsia="en-GB"/>
        </w:rPr>
        <w:t>4. The Feedback Studio will launch as normal.</w:t>
      </w:r>
    </w:p>
    <w:p w:rsidR="00945D4A" w:rsidRDefault="00945D4A">
      <w:pPr>
        <w:rPr>
          <w:sz w:val="24"/>
          <w:szCs w:val="24"/>
          <w:lang w:eastAsia="en-GB"/>
        </w:rPr>
      </w:pPr>
      <w:r>
        <w:rPr>
          <w:sz w:val="24"/>
          <w:szCs w:val="24"/>
          <w:lang w:eastAsia="en-GB"/>
        </w:rPr>
        <w:br w:type="page"/>
      </w:r>
    </w:p>
    <w:p w:rsidR="00C5706D" w:rsidRPr="00C5706D" w:rsidRDefault="00C5706D" w:rsidP="00C5706D">
      <w:pPr>
        <w:pStyle w:val="Heading4"/>
      </w:pPr>
      <w:r w:rsidRPr="00C5706D">
        <w:lastRenderedPageBreak/>
        <w:t>Analytics</w:t>
      </w:r>
    </w:p>
    <w:p w:rsidR="00C5706D" w:rsidRDefault="00C5706D" w:rsidP="00C5706D">
      <w:pPr>
        <w:pStyle w:val="NoSpacing"/>
        <w:rPr>
          <w:sz w:val="24"/>
          <w:szCs w:val="24"/>
          <w:lang w:eastAsia="en-GB"/>
        </w:rPr>
      </w:pPr>
      <w:r w:rsidRPr="00C5706D">
        <w:rPr>
          <w:sz w:val="24"/>
          <w:szCs w:val="24"/>
          <w:lang w:eastAsia="en-GB"/>
        </w:rPr>
        <w:t>The new TurnItIn integration enables easier engagement with analytics regarding the submission link and student interaction.</w:t>
      </w:r>
    </w:p>
    <w:p w:rsidR="00C5706D" w:rsidRPr="00C5706D" w:rsidRDefault="00C5706D" w:rsidP="00C5706D">
      <w:pPr>
        <w:pStyle w:val="NoSpacing"/>
        <w:rPr>
          <w:sz w:val="24"/>
          <w:szCs w:val="24"/>
          <w:lang w:eastAsia="en-GB"/>
        </w:rPr>
      </w:pPr>
    </w:p>
    <w:p w:rsidR="00C5706D" w:rsidRPr="00C5706D" w:rsidRDefault="00C5706D" w:rsidP="00C5706D">
      <w:pPr>
        <w:pStyle w:val="NoSpacing"/>
        <w:rPr>
          <w:sz w:val="24"/>
          <w:szCs w:val="24"/>
          <w:lang w:eastAsia="en-GB"/>
        </w:rPr>
      </w:pPr>
      <w:r w:rsidRPr="00C5706D">
        <w:rPr>
          <w:sz w:val="24"/>
          <w:szCs w:val="24"/>
          <w:lang w:eastAsia="en-GB"/>
        </w:rPr>
        <w:t>1. Click the submission link.</w:t>
      </w:r>
    </w:p>
    <w:p w:rsidR="00C5706D" w:rsidRDefault="00C5706D" w:rsidP="00C5706D">
      <w:pPr>
        <w:pStyle w:val="NoSpacing"/>
        <w:rPr>
          <w:sz w:val="24"/>
          <w:szCs w:val="24"/>
          <w:lang w:eastAsia="en-GB"/>
        </w:rPr>
      </w:pPr>
      <w:r w:rsidRPr="00C5706D">
        <w:rPr>
          <w:noProof/>
          <w:color w:val="0000FF"/>
          <w:sz w:val="24"/>
          <w:szCs w:val="24"/>
          <w:lang w:eastAsia="en-GB"/>
        </w:rPr>
        <w:drawing>
          <wp:inline distT="0" distB="0" distL="0" distR="0">
            <wp:extent cx="4763135" cy="2115185"/>
            <wp:effectExtent l="0" t="0" r="0" b="0"/>
            <wp:docPr id="2" name="Picture 2" descr="The TurnItIn submission lin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TurnItIn submission link">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3135" cy="2115185"/>
                    </a:xfrm>
                    <a:prstGeom prst="rect">
                      <a:avLst/>
                    </a:prstGeom>
                    <a:noFill/>
                    <a:ln>
                      <a:noFill/>
                    </a:ln>
                  </pic:spPr>
                </pic:pic>
              </a:graphicData>
            </a:graphic>
          </wp:inline>
        </w:drawing>
      </w:r>
    </w:p>
    <w:p w:rsidR="00C5706D" w:rsidRPr="00C5706D" w:rsidRDefault="00C5706D" w:rsidP="00C5706D">
      <w:pPr>
        <w:pStyle w:val="NoSpacing"/>
        <w:rPr>
          <w:sz w:val="24"/>
          <w:szCs w:val="24"/>
          <w:lang w:eastAsia="en-GB"/>
        </w:rPr>
      </w:pPr>
    </w:p>
    <w:p w:rsidR="00C5706D" w:rsidRDefault="00C5706D" w:rsidP="00C5706D">
      <w:pPr>
        <w:pStyle w:val="NoSpacing"/>
        <w:rPr>
          <w:sz w:val="24"/>
          <w:szCs w:val="24"/>
          <w:lang w:eastAsia="en-GB"/>
        </w:rPr>
      </w:pPr>
      <w:r w:rsidRPr="00C5706D">
        <w:rPr>
          <w:sz w:val="24"/>
          <w:szCs w:val="24"/>
          <w:lang w:eastAsia="en-GB"/>
        </w:rPr>
        <w:t>2. Toward th</w:t>
      </w:r>
      <w:r>
        <w:rPr>
          <w:sz w:val="24"/>
          <w:szCs w:val="24"/>
          <w:lang w:eastAsia="en-GB"/>
        </w:rPr>
        <w:t xml:space="preserve">e </w:t>
      </w:r>
      <w:r w:rsidRPr="00C5706D">
        <w:rPr>
          <w:sz w:val="24"/>
          <w:szCs w:val="24"/>
          <w:lang w:eastAsia="en-GB"/>
        </w:rPr>
        <w:t>top of the screen, click on Analytics.</w:t>
      </w:r>
    </w:p>
    <w:p w:rsidR="00C5706D" w:rsidRPr="00C5706D" w:rsidRDefault="00C5706D" w:rsidP="00C5706D">
      <w:pPr>
        <w:pStyle w:val="NoSpacing"/>
        <w:rPr>
          <w:sz w:val="24"/>
          <w:szCs w:val="24"/>
          <w:lang w:eastAsia="en-GB"/>
        </w:rPr>
      </w:pPr>
    </w:p>
    <w:p w:rsidR="00C5706D" w:rsidRPr="00C5706D" w:rsidRDefault="00C5706D" w:rsidP="00C5706D">
      <w:pPr>
        <w:pStyle w:val="NoSpacing"/>
        <w:rPr>
          <w:sz w:val="24"/>
          <w:szCs w:val="24"/>
          <w:lang w:eastAsia="en-GB"/>
        </w:rPr>
      </w:pPr>
      <w:r w:rsidRPr="00C5706D">
        <w:rPr>
          <w:sz w:val="24"/>
          <w:szCs w:val="24"/>
          <w:lang w:eastAsia="en-GB"/>
        </w:rPr>
        <w:t>3. The Analytics Dashboard will be displayed. In here, colleagues can see and download data regarding grades, the Rubric (if in use) and similarity.</w:t>
      </w:r>
    </w:p>
    <w:p w:rsidR="007879F8" w:rsidRPr="00C5706D" w:rsidRDefault="00C5706D" w:rsidP="00C5706D">
      <w:pPr>
        <w:pStyle w:val="NoSpacing"/>
        <w:rPr>
          <w:sz w:val="24"/>
          <w:szCs w:val="24"/>
          <w:lang w:eastAsia="en-GB"/>
        </w:rPr>
      </w:pPr>
      <w:r w:rsidRPr="00C5706D">
        <w:rPr>
          <w:noProof/>
          <w:sz w:val="24"/>
          <w:szCs w:val="24"/>
          <w:lang w:eastAsia="en-GB"/>
        </w:rPr>
        <w:drawing>
          <wp:inline distT="0" distB="0" distL="0" distR="0">
            <wp:extent cx="6729537" cy="4246504"/>
            <wp:effectExtent l="0" t="0" r="0" b="1905"/>
            <wp:docPr id="1" name="Picture 1" descr="The Analytics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Analytics Dashboa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41062" cy="4253776"/>
                    </a:xfrm>
                    <a:prstGeom prst="rect">
                      <a:avLst/>
                    </a:prstGeom>
                    <a:noFill/>
                    <a:ln>
                      <a:noFill/>
                    </a:ln>
                  </pic:spPr>
                </pic:pic>
              </a:graphicData>
            </a:graphic>
          </wp:inline>
        </w:drawing>
      </w:r>
    </w:p>
    <w:sectPr w:rsidR="007879F8" w:rsidRPr="00C5706D" w:rsidSect="00787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1B"/>
    <w:multiLevelType w:val="hybridMultilevel"/>
    <w:tmpl w:val="583C5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5400D7"/>
    <w:multiLevelType w:val="multilevel"/>
    <w:tmpl w:val="EFF8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6D"/>
    <w:rsid w:val="007879F8"/>
    <w:rsid w:val="008340A1"/>
    <w:rsid w:val="00945D4A"/>
    <w:rsid w:val="00C5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4E10"/>
  <w15:chartTrackingRefBased/>
  <w15:docId w15:val="{221DC92D-A199-42CC-983F-44052D35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70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C570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9F8"/>
    <w:pPr>
      <w:spacing w:after="0" w:line="240" w:lineRule="auto"/>
    </w:pPr>
  </w:style>
  <w:style w:type="character" w:customStyle="1" w:styleId="Heading1Char">
    <w:name w:val="Heading 1 Char"/>
    <w:basedOn w:val="DefaultParagraphFont"/>
    <w:link w:val="Heading1"/>
    <w:uiPriority w:val="9"/>
    <w:rsid w:val="00C5706D"/>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C5706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570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5706D"/>
    <w:rPr>
      <w:color w:val="0000FF"/>
      <w:u w:val="single"/>
    </w:rPr>
  </w:style>
  <w:style w:type="character" w:customStyle="1" w:styleId="edit-link">
    <w:name w:val="edit-link"/>
    <w:basedOn w:val="DefaultParagraphFont"/>
    <w:rsid w:val="00C5706D"/>
  </w:style>
  <w:style w:type="paragraph" w:customStyle="1" w:styleId="menu-item">
    <w:name w:val="menu-item"/>
    <w:basedOn w:val="Normal"/>
    <w:rsid w:val="00C570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016979">
      <w:bodyDiv w:val="1"/>
      <w:marLeft w:val="0"/>
      <w:marRight w:val="0"/>
      <w:marTop w:val="0"/>
      <w:marBottom w:val="0"/>
      <w:divBdr>
        <w:top w:val="none" w:sz="0" w:space="0" w:color="auto"/>
        <w:left w:val="none" w:sz="0" w:space="0" w:color="auto"/>
        <w:bottom w:val="none" w:sz="0" w:space="0" w:color="auto"/>
        <w:right w:val="none" w:sz="0" w:space="0" w:color="auto"/>
      </w:divBdr>
      <w:divsChild>
        <w:div w:id="1874685274">
          <w:marLeft w:val="0"/>
          <w:marRight w:val="0"/>
          <w:marTop w:val="0"/>
          <w:marBottom w:val="0"/>
          <w:divBdr>
            <w:top w:val="none" w:sz="0" w:space="0" w:color="auto"/>
            <w:left w:val="none" w:sz="0" w:space="0" w:color="auto"/>
            <w:bottom w:val="none" w:sz="0" w:space="0" w:color="auto"/>
            <w:right w:val="none" w:sz="0" w:space="0" w:color="auto"/>
          </w:divBdr>
          <w:divsChild>
            <w:div w:id="2071925904">
              <w:marLeft w:val="0"/>
              <w:marRight w:val="0"/>
              <w:marTop w:val="0"/>
              <w:marBottom w:val="0"/>
              <w:divBdr>
                <w:top w:val="none" w:sz="0" w:space="0" w:color="auto"/>
                <w:left w:val="none" w:sz="0" w:space="0" w:color="auto"/>
                <w:bottom w:val="none" w:sz="0" w:space="0" w:color="auto"/>
                <w:right w:val="none" w:sz="0" w:space="0" w:color="auto"/>
              </w:divBdr>
              <w:divsChild>
                <w:div w:id="1265529270">
                  <w:marLeft w:val="0"/>
                  <w:marRight w:val="0"/>
                  <w:marTop w:val="0"/>
                  <w:marBottom w:val="0"/>
                  <w:divBdr>
                    <w:top w:val="none" w:sz="0" w:space="0" w:color="auto"/>
                    <w:left w:val="none" w:sz="0" w:space="0" w:color="auto"/>
                    <w:bottom w:val="none" w:sz="0" w:space="0" w:color="auto"/>
                    <w:right w:val="none" w:sz="0" w:space="0" w:color="auto"/>
                  </w:divBdr>
                  <w:divsChild>
                    <w:div w:id="5884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951">
          <w:marLeft w:val="0"/>
          <w:marRight w:val="0"/>
          <w:marTop w:val="0"/>
          <w:marBottom w:val="0"/>
          <w:divBdr>
            <w:top w:val="none" w:sz="0" w:space="0" w:color="auto"/>
            <w:left w:val="none" w:sz="0" w:space="0" w:color="auto"/>
            <w:bottom w:val="none" w:sz="0" w:space="0" w:color="auto"/>
            <w:right w:val="none" w:sz="0" w:space="0" w:color="auto"/>
          </w:divBdr>
          <w:divsChild>
            <w:div w:id="1560288649">
              <w:marLeft w:val="0"/>
              <w:marRight w:val="0"/>
              <w:marTop w:val="0"/>
              <w:marBottom w:val="0"/>
              <w:divBdr>
                <w:top w:val="none" w:sz="0" w:space="0" w:color="auto"/>
                <w:left w:val="none" w:sz="0" w:space="0" w:color="auto"/>
                <w:bottom w:val="none" w:sz="0" w:space="0" w:color="auto"/>
                <w:right w:val="none" w:sz="0" w:space="0" w:color="auto"/>
              </w:divBdr>
              <w:divsChild>
                <w:div w:id="10370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celt.our.dmu.ac.uk/wp-content/uploads/sites/9/2022/07/TII9.jpg" TargetMode="External"/><Relationship Id="rId7" Type="http://schemas.openxmlformats.org/officeDocument/2006/relationships/hyperlink" Target="https://celt.our.dmu.ac.uk/wp-content/uploads/sites/9/2022/07/TII2.jpg" TargetMode="External"/><Relationship Id="rId12" Type="http://schemas.openxmlformats.org/officeDocument/2006/relationships/image" Target="media/image4.jpeg"/><Relationship Id="rId17" Type="http://schemas.openxmlformats.org/officeDocument/2006/relationships/hyperlink" Target="https://celt.our.dmu.ac.uk/wp-content/uploads/sites/9/2022/07/TII7.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elt.our.dmu.ac.uk/wp-content/uploads/sites/9/2022/07/TII4.jpg" TargetMode="External"/><Relationship Id="rId24" Type="http://schemas.openxmlformats.org/officeDocument/2006/relationships/fontTable" Target="fontTable.xml"/><Relationship Id="rId5" Type="http://schemas.openxmlformats.org/officeDocument/2006/relationships/hyperlink" Target="https://celt.our.dmu.ac.uk/wp-content/uploads/sites/9/2022/07/TII1.jpg" TargetMode="External"/><Relationship Id="rId15" Type="http://schemas.openxmlformats.org/officeDocument/2006/relationships/hyperlink" Target="https://celt.our.dmu.ac.uk/wp-content/uploads/sites/9/2022/07/TII6.jpg"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s://celt.our.dmu.ac.uk/wp-content/uploads/sites/9/2022/07/TII8.jpg" TargetMode="External"/><Relationship Id="rId4" Type="http://schemas.openxmlformats.org/officeDocument/2006/relationships/webSettings" Target="webSettings.xml"/><Relationship Id="rId9" Type="http://schemas.openxmlformats.org/officeDocument/2006/relationships/hyperlink" Target="https://celt.our.dmu.ac.uk/wp-content/uploads/sites/9/2022/07/TII3.jpg" TargetMode="External"/><Relationship Id="rId14" Type="http://schemas.openxmlformats.org/officeDocument/2006/relationships/hyperlink" Target="https://celt.our.dmu.ac.uk/celt-3/celt-people/"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2022-07-11T08:57:00Z</dcterms:created>
  <dcterms:modified xsi:type="dcterms:W3CDTF">2022-07-11T09:08:00Z</dcterms:modified>
</cp:coreProperties>
</file>