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FD" w:rsidRPr="002A40FD" w:rsidRDefault="002A40FD" w:rsidP="002A40FD">
      <w:pPr>
        <w:pStyle w:val="Heading1"/>
      </w:pPr>
      <w:bookmarkStart w:id="0" w:name="_GoBack"/>
      <w:r w:rsidRPr="002A40FD">
        <w:t>Using and managing the raise hand tool</w:t>
      </w:r>
    </w:p>
    <w:bookmarkEnd w:id="0"/>
    <w:p w:rsidR="002A40FD" w:rsidRPr="002A40FD" w:rsidRDefault="002A40FD" w:rsidP="002A40FD">
      <w:pPr>
        <w:pStyle w:val="NoSpacing"/>
        <w:rPr>
          <w:sz w:val="24"/>
          <w:szCs w:val="24"/>
          <w:lang w:eastAsia="en-GB"/>
        </w:rPr>
      </w:pPr>
      <w:r w:rsidRPr="002A40FD">
        <w:rPr>
          <w:b/>
          <w:sz w:val="24"/>
          <w:szCs w:val="24"/>
          <w:lang w:eastAsia="en-GB"/>
        </w:rPr>
        <w:t>Note:</w:t>
      </w:r>
      <w:r>
        <w:rPr>
          <w:sz w:val="24"/>
          <w:szCs w:val="24"/>
          <w:lang w:eastAsia="en-GB"/>
        </w:rPr>
        <w:t xml:space="preserve"> C</w:t>
      </w:r>
      <w:r w:rsidRPr="002A40FD">
        <w:rPr>
          <w:sz w:val="24"/>
          <w:szCs w:val="24"/>
          <w:lang w:eastAsia="en-GB"/>
        </w:rPr>
        <w:t>onsiderations when using the Raise Hand tool:</w:t>
      </w:r>
    </w:p>
    <w:p w:rsidR="002A40FD" w:rsidRPr="002A40FD" w:rsidRDefault="002A40FD" w:rsidP="002A40FD">
      <w:pPr>
        <w:pStyle w:val="NoSpacing"/>
        <w:numPr>
          <w:ilvl w:val="0"/>
          <w:numId w:val="3"/>
        </w:numPr>
        <w:rPr>
          <w:sz w:val="24"/>
          <w:szCs w:val="24"/>
          <w:lang w:eastAsia="en-GB"/>
        </w:rPr>
      </w:pPr>
      <w:r w:rsidRPr="002A40FD">
        <w:rPr>
          <w:sz w:val="24"/>
          <w:szCs w:val="24"/>
          <w:lang w:eastAsia="en-GB"/>
        </w:rPr>
        <w:t>It is a useful knowledge checking device – remember to ask students to put their hands down after use or control this yourself.</w:t>
      </w:r>
    </w:p>
    <w:p w:rsidR="002A40FD" w:rsidRPr="002A40FD" w:rsidRDefault="002A40FD" w:rsidP="002A40FD">
      <w:pPr>
        <w:pStyle w:val="NoSpacing"/>
        <w:numPr>
          <w:ilvl w:val="0"/>
          <w:numId w:val="3"/>
        </w:numPr>
        <w:rPr>
          <w:sz w:val="24"/>
          <w:szCs w:val="24"/>
          <w:lang w:eastAsia="en-GB"/>
        </w:rPr>
      </w:pPr>
      <w:r w:rsidRPr="002A40FD">
        <w:rPr>
          <w:sz w:val="24"/>
          <w:szCs w:val="24"/>
          <w:lang w:eastAsia="en-GB"/>
        </w:rPr>
        <w:t xml:space="preserve">If there is a large group; asking students to raise their hands with questions can be problematic. </w:t>
      </w:r>
    </w:p>
    <w:p w:rsidR="002A40FD" w:rsidRPr="002A40FD" w:rsidRDefault="002A40FD" w:rsidP="002A40FD">
      <w:pPr>
        <w:pStyle w:val="NoSpacing"/>
        <w:numPr>
          <w:ilvl w:val="1"/>
          <w:numId w:val="3"/>
        </w:numPr>
        <w:rPr>
          <w:sz w:val="24"/>
          <w:szCs w:val="24"/>
          <w:lang w:eastAsia="en-GB"/>
        </w:rPr>
      </w:pPr>
      <w:r w:rsidRPr="002A40FD">
        <w:rPr>
          <w:sz w:val="24"/>
          <w:szCs w:val="24"/>
          <w:lang w:eastAsia="en-GB"/>
        </w:rPr>
        <w:t>Do you have time to address them all?</w:t>
      </w:r>
    </w:p>
    <w:p w:rsidR="002A40FD" w:rsidRPr="002A40FD" w:rsidRDefault="002A40FD" w:rsidP="002A40FD">
      <w:pPr>
        <w:pStyle w:val="NoSpacing"/>
        <w:numPr>
          <w:ilvl w:val="1"/>
          <w:numId w:val="3"/>
        </w:numPr>
        <w:rPr>
          <w:sz w:val="24"/>
          <w:szCs w:val="24"/>
          <w:lang w:eastAsia="en-GB"/>
        </w:rPr>
      </w:pPr>
      <w:r w:rsidRPr="002A40FD">
        <w:rPr>
          <w:sz w:val="24"/>
          <w:szCs w:val="24"/>
          <w:lang w:eastAsia="en-GB"/>
        </w:rPr>
        <w:t>It may prove to be more beneficial to say that you can deal with questions after the event.</w:t>
      </w:r>
    </w:p>
    <w:p w:rsidR="002A40FD" w:rsidRPr="002A40FD" w:rsidRDefault="002A40FD" w:rsidP="002A40FD">
      <w:pPr>
        <w:pStyle w:val="NoSpacing"/>
        <w:numPr>
          <w:ilvl w:val="1"/>
          <w:numId w:val="3"/>
        </w:numPr>
        <w:rPr>
          <w:sz w:val="24"/>
          <w:szCs w:val="24"/>
          <w:lang w:eastAsia="en-GB"/>
        </w:rPr>
      </w:pPr>
      <w:r w:rsidRPr="002A40FD">
        <w:rPr>
          <w:sz w:val="24"/>
          <w:szCs w:val="24"/>
          <w:lang w:eastAsia="en-GB"/>
        </w:rPr>
        <w:t>For instance, you may be available in the Collaborate space for an additional 20 mins, or</w:t>
      </w:r>
    </w:p>
    <w:p w:rsidR="002A40FD" w:rsidRPr="002A40FD" w:rsidRDefault="002A40FD" w:rsidP="002A40FD">
      <w:pPr>
        <w:pStyle w:val="NoSpacing"/>
        <w:numPr>
          <w:ilvl w:val="1"/>
          <w:numId w:val="3"/>
        </w:numPr>
        <w:rPr>
          <w:sz w:val="24"/>
          <w:szCs w:val="24"/>
          <w:lang w:eastAsia="en-GB"/>
        </w:rPr>
      </w:pPr>
      <w:r w:rsidRPr="002A40FD">
        <w:rPr>
          <w:sz w:val="24"/>
          <w:szCs w:val="24"/>
          <w:lang w:eastAsia="en-GB"/>
        </w:rPr>
        <w:t>set up a forum for further asynchronous discussion</w:t>
      </w:r>
      <w:r w:rsidRPr="002A40FD">
        <w:rPr>
          <w:i/>
          <w:iCs/>
          <w:sz w:val="24"/>
          <w:szCs w:val="24"/>
          <w:lang w:eastAsia="en-GB"/>
        </w:rPr>
        <w:t>.</w:t>
      </w:r>
    </w:p>
    <w:p w:rsidR="002A40FD" w:rsidRPr="002A40FD" w:rsidRDefault="002A40FD" w:rsidP="002A40FD">
      <w:pPr>
        <w:pStyle w:val="NoSpacing"/>
        <w:rPr>
          <w:sz w:val="24"/>
          <w:szCs w:val="24"/>
          <w:lang w:eastAsia="en-GB"/>
        </w:rPr>
      </w:pPr>
      <w:r w:rsidRPr="002A40FD">
        <w:rPr>
          <w:sz w:val="24"/>
          <w:szCs w:val="24"/>
          <w:lang w:eastAsia="en-GB"/>
        </w:rPr>
        <w:pict>
          <v:rect id="_x0000_i1026" style="width:0;height:1.5pt" o:hralign="center" o:hrstd="t" o:hr="t" fillcolor="#a0a0a0" stroked="f"/>
        </w:pict>
      </w:r>
    </w:p>
    <w:p w:rsidR="002A40FD" w:rsidRPr="002A40FD" w:rsidRDefault="002A40FD" w:rsidP="002A40FD">
      <w:pPr>
        <w:pStyle w:val="Heading2"/>
        <w:rPr>
          <w:rFonts w:eastAsia="Times New Roman"/>
          <w:lang w:eastAsia="en-GB"/>
        </w:rPr>
      </w:pPr>
      <w:r w:rsidRPr="002A40FD">
        <w:rPr>
          <w:rFonts w:eastAsia="Times New Roman"/>
          <w:lang w:eastAsia="en-GB"/>
        </w:rPr>
        <w:t>Learning outcomes</w:t>
      </w:r>
    </w:p>
    <w:p w:rsidR="002A40FD" w:rsidRPr="002A40FD" w:rsidRDefault="002A40FD" w:rsidP="002A40FD">
      <w:pPr>
        <w:pStyle w:val="NoSpacing"/>
        <w:rPr>
          <w:sz w:val="24"/>
          <w:szCs w:val="24"/>
          <w:lang w:eastAsia="en-GB"/>
        </w:rPr>
      </w:pPr>
      <w:r w:rsidRPr="002A40FD">
        <w:rPr>
          <w:sz w:val="24"/>
          <w:szCs w:val="24"/>
          <w:lang w:eastAsia="en-GB"/>
        </w:rPr>
        <w:t>By the end of this guide you should know:</w:t>
      </w:r>
    </w:p>
    <w:p w:rsidR="002A40FD" w:rsidRPr="002A40FD" w:rsidRDefault="002A40FD" w:rsidP="002A40FD">
      <w:pPr>
        <w:pStyle w:val="NoSpacing"/>
        <w:numPr>
          <w:ilvl w:val="0"/>
          <w:numId w:val="4"/>
        </w:numPr>
        <w:rPr>
          <w:sz w:val="24"/>
          <w:szCs w:val="24"/>
          <w:lang w:eastAsia="en-GB"/>
        </w:rPr>
      </w:pPr>
      <w:r w:rsidRPr="002A40FD">
        <w:rPr>
          <w:sz w:val="24"/>
          <w:szCs w:val="24"/>
          <w:lang w:eastAsia="en-GB"/>
        </w:rPr>
        <w:t>How to use the ‘Raise hand’ tool.</w:t>
      </w:r>
    </w:p>
    <w:p w:rsidR="002A40FD" w:rsidRPr="002A40FD" w:rsidRDefault="002A40FD" w:rsidP="002A40FD">
      <w:pPr>
        <w:pStyle w:val="NoSpacing"/>
        <w:numPr>
          <w:ilvl w:val="0"/>
          <w:numId w:val="4"/>
        </w:numPr>
        <w:rPr>
          <w:sz w:val="24"/>
          <w:szCs w:val="24"/>
          <w:lang w:eastAsia="en-GB"/>
        </w:rPr>
      </w:pPr>
      <w:r w:rsidRPr="002A40FD">
        <w:rPr>
          <w:sz w:val="24"/>
          <w:szCs w:val="24"/>
          <w:lang w:eastAsia="en-GB"/>
        </w:rPr>
        <w:t>How to manage the ‘Raise hand’ tool.</w:t>
      </w:r>
    </w:p>
    <w:p w:rsidR="002A40FD" w:rsidRPr="002A40FD" w:rsidRDefault="002A40FD" w:rsidP="002A40FD">
      <w:pPr>
        <w:pStyle w:val="NoSpacing"/>
        <w:rPr>
          <w:sz w:val="24"/>
          <w:szCs w:val="24"/>
          <w:lang w:eastAsia="en-GB"/>
        </w:rPr>
      </w:pPr>
      <w:r w:rsidRPr="002A40FD">
        <w:rPr>
          <w:sz w:val="24"/>
          <w:szCs w:val="24"/>
          <w:lang w:eastAsia="en-GB"/>
        </w:rPr>
        <w:t> </w:t>
      </w:r>
    </w:p>
    <w:p w:rsidR="002A40FD" w:rsidRPr="002A40FD" w:rsidRDefault="002A40FD" w:rsidP="002A40FD">
      <w:pPr>
        <w:pStyle w:val="NoSpacing"/>
        <w:rPr>
          <w:sz w:val="24"/>
          <w:szCs w:val="24"/>
          <w:lang w:eastAsia="en-GB"/>
        </w:rPr>
      </w:pPr>
      <w:r w:rsidRPr="002A40FD">
        <w:rPr>
          <w:sz w:val="24"/>
          <w:szCs w:val="24"/>
          <w:lang w:eastAsia="en-GB"/>
        </w:rPr>
        <w:pict>
          <v:rect id="_x0000_i1028" style="width:0;height:1.5pt" o:hralign="center" o:hrstd="t" o:hr="t" fillcolor="#a0a0a0" stroked="f"/>
        </w:pict>
      </w:r>
    </w:p>
    <w:p w:rsidR="002A40FD" w:rsidRPr="002A40FD" w:rsidRDefault="002A40FD" w:rsidP="002A40FD">
      <w:pPr>
        <w:pStyle w:val="Heading2"/>
        <w:rPr>
          <w:rFonts w:eastAsia="Times New Roman"/>
          <w:lang w:eastAsia="en-GB"/>
        </w:rPr>
      </w:pPr>
      <w:r w:rsidRPr="002A40FD">
        <w:rPr>
          <w:rFonts w:eastAsia="Times New Roman"/>
          <w:lang w:eastAsia="en-GB"/>
        </w:rPr>
        <w:t>How to</w:t>
      </w:r>
    </w:p>
    <w:p w:rsidR="002A40FD" w:rsidRPr="002A40FD" w:rsidRDefault="002A40FD" w:rsidP="002A40FD">
      <w:pPr>
        <w:pStyle w:val="NoSpacing"/>
        <w:rPr>
          <w:sz w:val="24"/>
          <w:szCs w:val="24"/>
          <w:lang w:eastAsia="en-GB"/>
        </w:rPr>
      </w:pPr>
      <w:r w:rsidRPr="002A40FD">
        <w:rPr>
          <w:sz w:val="24"/>
          <w:szCs w:val="24"/>
          <w:lang w:eastAsia="en-GB"/>
        </w:rPr>
        <w:t>In Collaborate Ultra:</w:t>
      </w:r>
    </w:p>
    <w:p w:rsidR="002A40FD" w:rsidRPr="002A40FD" w:rsidRDefault="002A40FD" w:rsidP="002A40FD">
      <w:pPr>
        <w:pStyle w:val="NoSpacing"/>
        <w:rPr>
          <w:sz w:val="24"/>
          <w:szCs w:val="24"/>
          <w:lang w:eastAsia="en-GB"/>
        </w:rPr>
      </w:pPr>
      <w:r w:rsidRPr="002A40FD">
        <w:rPr>
          <w:sz w:val="24"/>
          <w:szCs w:val="24"/>
          <w:lang w:eastAsia="en-GB"/>
        </w:rPr>
        <w:t>1. Locate the ‘Raise hand’ option, which usually appears towards the bottom centre of the screen.</w:t>
      </w:r>
    </w:p>
    <w:p w:rsidR="002A40FD" w:rsidRPr="002A40FD" w:rsidRDefault="002A40FD" w:rsidP="002A40FD">
      <w:pPr>
        <w:pStyle w:val="NoSpacing"/>
        <w:rPr>
          <w:sz w:val="24"/>
          <w:szCs w:val="24"/>
          <w:lang w:eastAsia="en-GB"/>
        </w:rPr>
      </w:pPr>
      <w:r w:rsidRPr="002A40FD">
        <w:rPr>
          <w:noProof/>
          <w:sz w:val="24"/>
          <w:szCs w:val="24"/>
          <w:lang w:eastAsia="en-GB"/>
        </w:rPr>
        <w:drawing>
          <wp:inline distT="0" distB="0" distL="0" distR="0">
            <wp:extent cx="502920" cy="525780"/>
            <wp:effectExtent l="0" t="0" r="0" b="7620"/>
            <wp:docPr id="6" name="Picture 6" descr="https://celt.our.dmu.ac.uk/wp-content/uploads/sites/9/2020/06/ultra-raise-hand-o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lt.our.dmu.ac.uk/wp-content/uploads/sites/9/2020/06/ultra-raise-hand-op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 cy="525780"/>
                    </a:xfrm>
                    <a:prstGeom prst="rect">
                      <a:avLst/>
                    </a:prstGeom>
                    <a:noFill/>
                    <a:ln>
                      <a:noFill/>
                    </a:ln>
                  </pic:spPr>
                </pic:pic>
              </a:graphicData>
            </a:graphic>
          </wp:inline>
        </w:drawing>
      </w:r>
    </w:p>
    <w:p w:rsidR="002A40FD" w:rsidRDefault="002A40FD" w:rsidP="002A40FD">
      <w:pPr>
        <w:pStyle w:val="NoSpacing"/>
        <w:rPr>
          <w:sz w:val="24"/>
          <w:szCs w:val="24"/>
          <w:lang w:eastAsia="en-GB"/>
        </w:rPr>
      </w:pPr>
    </w:p>
    <w:p w:rsidR="002A40FD" w:rsidRPr="002A40FD" w:rsidRDefault="002A40FD" w:rsidP="002A40FD">
      <w:pPr>
        <w:pStyle w:val="NoSpacing"/>
        <w:rPr>
          <w:sz w:val="24"/>
          <w:szCs w:val="24"/>
          <w:lang w:eastAsia="en-GB"/>
        </w:rPr>
      </w:pPr>
      <w:r w:rsidRPr="002A40FD">
        <w:rPr>
          <w:sz w:val="24"/>
          <w:szCs w:val="24"/>
          <w:lang w:eastAsia="en-GB"/>
        </w:rPr>
        <w:t>2. Left-click the ‘Raise hand’ option. When you do so, a hand will appear next to your name in the Attendees panel at the right-hand side.</w:t>
      </w:r>
    </w:p>
    <w:p w:rsidR="002A40FD" w:rsidRPr="002A40FD" w:rsidRDefault="002A40FD" w:rsidP="002A40FD">
      <w:pPr>
        <w:pStyle w:val="NoSpacing"/>
        <w:rPr>
          <w:sz w:val="24"/>
          <w:szCs w:val="24"/>
          <w:lang w:eastAsia="en-GB"/>
        </w:rPr>
      </w:pPr>
      <w:r w:rsidRPr="002A40FD">
        <w:rPr>
          <w:noProof/>
          <w:sz w:val="24"/>
          <w:szCs w:val="24"/>
          <w:lang w:eastAsia="en-GB"/>
        </w:rPr>
        <w:drawing>
          <wp:inline distT="0" distB="0" distL="0" distR="0">
            <wp:extent cx="2857500" cy="1524000"/>
            <wp:effectExtent l="0" t="0" r="0" b="0"/>
            <wp:docPr id="5" name="Picture 5" descr="https://celt.our.dmu.ac.uk/wp-content/uploads/sites/9/2020/06/ultra-raise-hand-option-RAISED-b-300x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lt.our.dmu.ac.uk/wp-content/uploads/sites/9/2020/06/ultra-raise-hand-option-RAISED-b-300x1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2A40FD" w:rsidRDefault="002A40FD" w:rsidP="002A40FD">
      <w:pPr>
        <w:pStyle w:val="NoSpacing"/>
        <w:rPr>
          <w:sz w:val="24"/>
          <w:szCs w:val="24"/>
          <w:lang w:eastAsia="en-GB"/>
        </w:rPr>
      </w:pPr>
    </w:p>
    <w:p w:rsidR="002A40FD" w:rsidRPr="002A40FD" w:rsidRDefault="002A40FD" w:rsidP="002A40FD">
      <w:pPr>
        <w:pStyle w:val="NoSpacing"/>
        <w:rPr>
          <w:sz w:val="24"/>
          <w:szCs w:val="24"/>
          <w:lang w:eastAsia="en-GB"/>
        </w:rPr>
      </w:pPr>
      <w:r w:rsidRPr="002A40FD">
        <w:rPr>
          <w:sz w:val="24"/>
          <w:szCs w:val="24"/>
          <w:lang w:eastAsia="en-GB"/>
        </w:rPr>
        <w:t>3. If somebody else has already raised their hand before you raise your hand, the number next to your own raised hand indicates where you are in the queue order. The ‘2’ next to the ‘Raise hand’ option below indicates that this attendee’s raised hand is second in the queue.</w:t>
      </w:r>
    </w:p>
    <w:p w:rsidR="002A40FD" w:rsidRPr="002A40FD" w:rsidRDefault="002A40FD" w:rsidP="002A40FD">
      <w:pPr>
        <w:pStyle w:val="NoSpacing"/>
        <w:rPr>
          <w:sz w:val="24"/>
          <w:szCs w:val="24"/>
          <w:lang w:eastAsia="en-GB"/>
        </w:rPr>
      </w:pPr>
      <w:r w:rsidRPr="002A40FD">
        <w:rPr>
          <w:noProof/>
          <w:sz w:val="24"/>
          <w:szCs w:val="24"/>
          <w:lang w:eastAsia="en-GB"/>
        </w:rPr>
        <w:drawing>
          <wp:inline distT="0" distB="0" distL="0" distR="0">
            <wp:extent cx="685800" cy="685800"/>
            <wp:effectExtent l="0" t="0" r="0" b="0"/>
            <wp:docPr id="4" name="Picture 4" descr="https://celt.our.dmu.ac.uk/wp-content/uploads/sites/9/2020/06/ultra-raise-hand-option-RAISED-queu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lt.our.dmu.ac.uk/wp-content/uploads/sites/9/2020/06/ultra-raise-hand-option-RAISED-queu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2A40FD" w:rsidRDefault="002A40FD" w:rsidP="002A40FD">
      <w:pPr>
        <w:pStyle w:val="NoSpacing"/>
        <w:rPr>
          <w:sz w:val="24"/>
          <w:szCs w:val="24"/>
          <w:lang w:eastAsia="en-GB"/>
        </w:rPr>
      </w:pPr>
    </w:p>
    <w:p w:rsidR="002A40FD" w:rsidRDefault="002A40FD">
      <w:pPr>
        <w:rPr>
          <w:sz w:val="24"/>
          <w:szCs w:val="24"/>
          <w:lang w:eastAsia="en-GB"/>
        </w:rPr>
      </w:pPr>
      <w:r>
        <w:rPr>
          <w:sz w:val="24"/>
          <w:szCs w:val="24"/>
          <w:lang w:eastAsia="en-GB"/>
        </w:rPr>
        <w:br w:type="page"/>
      </w:r>
    </w:p>
    <w:p w:rsidR="002A40FD" w:rsidRPr="002A40FD" w:rsidRDefault="002A40FD" w:rsidP="002A40FD">
      <w:pPr>
        <w:pStyle w:val="NoSpacing"/>
        <w:rPr>
          <w:sz w:val="24"/>
          <w:szCs w:val="24"/>
          <w:lang w:eastAsia="en-GB"/>
        </w:rPr>
      </w:pPr>
      <w:r w:rsidRPr="002A40FD">
        <w:rPr>
          <w:sz w:val="24"/>
          <w:szCs w:val="24"/>
          <w:lang w:eastAsia="en-GB"/>
        </w:rPr>
        <w:lastRenderedPageBreak/>
        <w:t>4. You will notice that other attendees who have raised their hand also have a number to indicate where they are in the queue order.</w:t>
      </w:r>
    </w:p>
    <w:p w:rsidR="002A40FD" w:rsidRPr="002A40FD" w:rsidRDefault="002A40FD" w:rsidP="002A40FD">
      <w:pPr>
        <w:pStyle w:val="NoSpacing"/>
        <w:rPr>
          <w:sz w:val="24"/>
          <w:szCs w:val="24"/>
          <w:lang w:eastAsia="en-GB"/>
        </w:rPr>
      </w:pPr>
      <w:r w:rsidRPr="002A40FD">
        <w:rPr>
          <w:noProof/>
          <w:sz w:val="24"/>
          <w:szCs w:val="24"/>
          <w:lang w:eastAsia="en-GB"/>
        </w:rPr>
        <w:drawing>
          <wp:inline distT="0" distB="0" distL="0" distR="0">
            <wp:extent cx="2857500" cy="1303020"/>
            <wp:effectExtent l="0" t="0" r="0" b="0"/>
            <wp:docPr id="3" name="Picture 3" descr="https://celt.our.dmu.ac.uk/wp-content/uploads/sites/9/2020/06/ultra-raise-hand-queue-order-for-others-300x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elt.our.dmu.ac.uk/wp-content/uploads/sites/9/2020/06/ultra-raise-hand-queue-order-for-others-300x13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03020"/>
                    </a:xfrm>
                    <a:prstGeom prst="rect">
                      <a:avLst/>
                    </a:prstGeom>
                    <a:noFill/>
                    <a:ln>
                      <a:noFill/>
                    </a:ln>
                  </pic:spPr>
                </pic:pic>
              </a:graphicData>
            </a:graphic>
          </wp:inline>
        </w:drawing>
      </w:r>
    </w:p>
    <w:p w:rsidR="002A40FD" w:rsidRDefault="002A40FD" w:rsidP="002A40FD">
      <w:pPr>
        <w:pStyle w:val="NoSpacing"/>
        <w:rPr>
          <w:sz w:val="24"/>
          <w:szCs w:val="24"/>
          <w:lang w:eastAsia="en-GB"/>
        </w:rPr>
      </w:pPr>
    </w:p>
    <w:p w:rsidR="002A40FD" w:rsidRPr="002A40FD" w:rsidRDefault="002A40FD" w:rsidP="002A40FD">
      <w:pPr>
        <w:pStyle w:val="NoSpacing"/>
        <w:rPr>
          <w:sz w:val="24"/>
          <w:szCs w:val="24"/>
          <w:lang w:eastAsia="en-GB"/>
        </w:rPr>
      </w:pPr>
      <w:r>
        <w:rPr>
          <w:sz w:val="24"/>
          <w:szCs w:val="24"/>
          <w:lang w:eastAsia="en-GB"/>
        </w:rPr>
        <w:t>5</w:t>
      </w:r>
      <w:r w:rsidRPr="002A40FD">
        <w:rPr>
          <w:sz w:val="24"/>
          <w:szCs w:val="24"/>
          <w:lang w:eastAsia="en-GB"/>
        </w:rPr>
        <w:t>. To lower your own raised hand, click your ‘Raise hand’ button a second time.</w:t>
      </w:r>
    </w:p>
    <w:p w:rsidR="002A40FD" w:rsidRDefault="002A40FD" w:rsidP="002A40FD">
      <w:pPr>
        <w:pStyle w:val="NoSpacing"/>
        <w:rPr>
          <w:sz w:val="24"/>
          <w:szCs w:val="24"/>
          <w:lang w:eastAsia="en-GB"/>
        </w:rPr>
      </w:pPr>
    </w:p>
    <w:p w:rsidR="002A40FD" w:rsidRPr="002A40FD" w:rsidRDefault="002A40FD" w:rsidP="002A40FD">
      <w:pPr>
        <w:pStyle w:val="NoSpacing"/>
        <w:rPr>
          <w:sz w:val="24"/>
          <w:szCs w:val="24"/>
          <w:lang w:eastAsia="en-GB"/>
        </w:rPr>
      </w:pPr>
      <w:r w:rsidRPr="002A40FD">
        <w:rPr>
          <w:sz w:val="24"/>
          <w:szCs w:val="24"/>
          <w:lang w:eastAsia="en-GB"/>
        </w:rPr>
        <w:t xml:space="preserve">6. If you are a Moderator, to lower the hand of other attendees: from the Attendees panel, select ‘Attendee </w:t>
      </w:r>
      <w:proofErr w:type="gramStart"/>
      <w:r w:rsidRPr="002A40FD">
        <w:rPr>
          <w:sz w:val="24"/>
          <w:szCs w:val="24"/>
          <w:lang w:eastAsia="en-GB"/>
        </w:rPr>
        <w:t>controls’</w:t>
      </w:r>
      <w:proofErr w:type="gramEnd"/>
      <w:r w:rsidRPr="002A40FD">
        <w:rPr>
          <w:sz w:val="24"/>
          <w:szCs w:val="24"/>
          <w:lang w:eastAsia="en-GB"/>
        </w:rPr>
        <w:t>.</w:t>
      </w:r>
    </w:p>
    <w:p w:rsidR="002A40FD" w:rsidRPr="002A40FD" w:rsidRDefault="002A40FD" w:rsidP="002A40FD">
      <w:pPr>
        <w:pStyle w:val="NoSpacing"/>
        <w:rPr>
          <w:sz w:val="24"/>
          <w:szCs w:val="24"/>
          <w:lang w:eastAsia="en-GB"/>
        </w:rPr>
      </w:pPr>
      <w:r w:rsidRPr="002A40FD">
        <w:rPr>
          <w:noProof/>
          <w:sz w:val="24"/>
          <w:szCs w:val="24"/>
          <w:lang w:eastAsia="en-GB"/>
        </w:rPr>
        <w:drawing>
          <wp:inline distT="0" distB="0" distL="0" distR="0">
            <wp:extent cx="2857500" cy="678180"/>
            <wp:effectExtent l="0" t="0" r="0" b="7620"/>
            <wp:docPr id="2" name="Picture 2" descr="https://celt.our.dmu.ac.uk/wp-content/uploads/sites/9/2020/06/ultra-attendee-controls-300x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elt.our.dmu.ac.uk/wp-content/uploads/sites/9/2020/06/ultra-attendee-controls-300x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78180"/>
                    </a:xfrm>
                    <a:prstGeom prst="rect">
                      <a:avLst/>
                    </a:prstGeom>
                    <a:noFill/>
                    <a:ln>
                      <a:noFill/>
                    </a:ln>
                  </pic:spPr>
                </pic:pic>
              </a:graphicData>
            </a:graphic>
          </wp:inline>
        </w:drawing>
      </w:r>
    </w:p>
    <w:p w:rsidR="002A40FD" w:rsidRPr="002A40FD" w:rsidRDefault="002A40FD" w:rsidP="002A40FD">
      <w:pPr>
        <w:pStyle w:val="NoSpacing"/>
        <w:rPr>
          <w:sz w:val="24"/>
          <w:szCs w:val="24"/>
          <w:lang w:eastAsia="en-GB"/>
        </w:rPr>
      </w:pPr>
      <w:r w:rsidRPr="002A40FD">
        <w:rPr>
          <w:sz w:val="24"/>
          <w:szCs w:val="24"/>
          <w:lang w:eastAsia="en-GB"/>
        </w:rPr>
        <w:t>7. From the ‘Attendee controls’ options, select ‘Lower hand’.</w:t>
      </w:r>
    </w:p>
    <w:p w:rsidR="00833305" w:rsidRPr="002A40FD" w:rsidRDefault="002A40FD" w:rsidP="002A40FD">
      <w:pPr>
        <w:pStyle w:val="NoSpacing"/>
        <w:rPr>
          <w:sz w:val="24"/>
          <w:szCs w:val="24"/>
          <w:lang w:eastAsia="en-GB"/>
        </w:rPr>
      </w:pPr>
      <w:r w:rsidRPr="002A40FD">
        <w:rPr>
          <w:noProof/>
          <w:sz w:val="24"/>
          <w:szCs w:val="24"/>
          <w:lang w:eastAsia="en-GB"/>
        </w:rPr>
        <w:drawing>
          <wp:inline distT="0" distB="0" distL="0" distR="0">
            <wp:extent cx="2720340" cy="2857500"/>
            <wp:effectExtent l="0" t="0" r="3810" b="0"/>
            <wp:docPr id="1" name="Picture 1" descr="https://celt.our.dmu.ac.uk/wp-content/uploads/sites/9/2020/06/ultra-Moderator-lower-other-hands-286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elt.our.dmu.ac.uk/wp-content/uploads/sites/9/2020/06/ultra-Moderator-lower-other-hands-286x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2857500"/>
                    </a:xfrm>
                    <a:prstGeom prst="rect">
                      <a:avLst/>
                    </a:prstGeom>
                    <a:noFill/>
                    <a:ln>
                      <a:noFill/>
                    </a:ln>
                  </pic:spPr>
                </pic:pic>
              </a:graphicData>
            </a:graphic>
          </wp:inline>
        </w:drawing>
      </w:r>
    </w:p>
    <w:sectPr w:rsidR="00833305" w:rsidRPr="002A40FD"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55F"/>
    <w:multiLevelType w:val="hybridMultilevel"/>
    <w:tmpl w:val="788AC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B6CE6"/>
    <w:multiLevelType w:val="multilevel"/>
    <w:tmpl w:val="EB0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73840"/>
    <w:multiLevelType w:val="multilevel"/>
    <w:tmpl w:val="569C1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64B7B"/>
    <w:multiLevelType w:val="hybridMultilevel"/>
    <w:tmpl w:val="ED76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FD"/>
    <w:rsid w:val="002A40FD"/>
    <w:rsid w:val="006A5B5D"/>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B2C9"/>
  <w15:chartTrackingRefBased/>
  <w15:docId w15:val="{40F7078D-C852-4E09-806F-4EEDF7D4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4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A4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A40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2A40F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2A40F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A4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40FD"/>
    <w:rPr>
      <w:i/>
      <w:iCs/>
    </w:rPr>
  </w:style>
  <w:style w:type="character" w:styleId="Hyperlink">
    <w:name w:val="Hyperlink"/>
    <w:basedOn w:val="DefaultParagraphFont"/>
    <w:uiPriority w:val="99"/>
    <w:semiHidden/>
    <w:unhideWhenUsed/>
    <w:rsid w:val="002A40FD"/>
    <w:rPr>
      <w:color w:val="0000FF"/>
      <w:u w:val="single"/>
    </w:rPr>
  </w:style>
  <w:style w:type="character" w:customStyle="1" w:styleId="Heading2Char">
    <w:name w:val="Heading 2 Char"/>
    <w:basedOn w:val="DefaultParagraphFont"/>
    <w:link w:val="Heading2"/>
    <w:uiPriority w:val="9"/>
    <w:rsid w:val="002A40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27151">
      <w:bodyDiv w:val="1"/>
      <w:marLeft w:val="0"/>
      <w:marRight w:val="0"/>
      <w:marTop w:val="0"/>
      <w:marBottom w:val="0"/>
      <w:divBdr>
        <w:top w:val="none" w:sz="0" w:space="0" w:color="auto"/>
        <w:left w:val="none" w:sz="0" w:space="0" w:color="auto"/>
        <w:bottom w:val="none" w:sz="0" w:space="0" w:color="auto"/>
        <w:right w:val="none" w:sz="0" w:space="0" w:color="auto"/>
      </w:divBdr>
      <w:divsChild>
        <w:div w:id="39736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2020-06-11T12:14:00Z</dcterms:created>
  <dcterms:modified xsi:type="dcterms:W3CDTF">2020-06-11T12:16:00Z</dcterms:modified>
</cp:coreProperties>
</file>